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A" w:rsidRPr="00374AFA" w:rsidRDefault="00374AFA" w:rsidP="0037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FA" w:rsidRPr="00374AFA" w:rsidRDefault="00374AFA" w:rsidP="0037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74AFA">
        <w:rPr>
          <w:rFonts w:ascii="Times New Roman" w:eastAsia="Times New Roman" w:hAnsi="Times New Roman" w:cs="Times New Roman"/>
          <w:lang w:eastAsia="ar-SA"/>
        </w:rPr>
        <w:t>КОНТРОЛЬНО-СЧЕТНАЯ ПАЛАТА</w:t>
      </w:r>
    </w:p>
    <w:p w:rsidR="00374AFA" w:rsidRPr="00374AFA" w:rsidRDefault="00374AFA" w:rsidP="0037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74AFA">
        <w:rPr>
          <w:rFonts w:ascii="Times New Roman" w:eastAsia="Times New Roman" w:hAnsi="Times New Roman" w:cs="Times New Roman"/>
          <w:lang w:eastAsia="ar-SA"/>
        </w:rPr>
        <w:t>ГОРОДСКОГО ОКРУГА ЗВЕНИГОРОД</w:t>
      </w:r>
    </w:p>
    <w:p w:rsidR="00374AFA" w:rsidRPr="00374AFA" w:rsidRDefault="00374AFA" w:rsidP="0037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74AFA" w:rsidRPr="00374AFA" w:rsidRDefault="00374AFA" w:rsidP="00374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4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143180,Московская обл.                                                                                                                  </w:t>
      </w:r>
    </w:p>
    <w:p w:rsidR="00374AFA" w:rsidRPr="00374AFA" w:rsidRDefault="00374AFA" w:rsidP="00374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4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Звенигород,                                                                                                                              тел.8 (495)597-15-10                                                                                                                                     </w:t>
      </w:r>
    </w:p>
    <w:p w:rsidR="00374AFA" w:rsidRPr="00374AFA" w:rsidRDefault="00374AFA" w:rsidP="00374AFA">
      <w:pPr>
        <w:pBdr>
          <w:bottom w:val="double" w:sz="6" w:space="3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4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ул. Ленина, д.28                                                                                                                           </w:t>
      </w:r>
      <w:r w:rsidRPr="00374AF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</w:t>
      </w:r>
      <w:r w:rsidRPr="00374AFA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374AF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mail</w:t>
      </w:r>
      <w:r w:rsidRPr="00374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hyperlink r:id="rId10" w:history="1"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k</w:t>
        </w:r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ksp</w:t>
        </w:r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@</w:t>
        </w:r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374AF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374AFA" w:rsidRPr="00374AFA" w:rsidRDefault="00374AFA" w:rsidP="00374AF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4AFA" w:rsidRPr="00374AFA" w:rsidRDefault="00374AFA" w:rsidP="00374A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4AFA" w:rsidRPr="00374AFA" w:rsidRDefault="00374AFA" w:rsidP="00374AF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374AFA" w:rsidRPr="00374AFA" w:rsidRDefault="00374AFA" w:rsidP="00374A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374A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ОТЧЕТ</w:t>
      </w:r>
    </w:p>
    <w:p w:rsidR="00374AFA" w:rsidRPr="00374AFA" w:rsidRDefault="00374AFA" w:rsidP="00374A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374A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 о деятельности Контрольно-счетной палаты</w:t>
      </w:r>
    </w:p>
    <w:p w:rsidR="00374AFA" w:rsidRPr="00374AFA" w:rsidRDefault="00374AFA" w:rsidP="00374A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374A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городского  округа Звенигород за 201</w:t>
      </w:r>
      <w:r w:rsidR="007F6761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5</w:t>
      </w:r>
      <w:r w:rsidRPr="00374AFA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год</w:t>
      </w:r>
    </w:p>
    <w:p w:rsidR="00374AFA" w:rsidRPr="00374AFA" w:rsidRDefault="00374AFA" w:rsidP="00374A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374AFA" w:rsidRPr="00374AFA" w:rsidRDefault="00374AFA" w:rsidP="00374AF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374AFA" w:rsidRPr="00374AFA" w:rsidRDefault="00374AFA" w:rsidP="00374AF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«31»</w:t>
      </w:r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марта 201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6</w:t>
      </w:r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</w:t>
      </w:r>
    </w:p>
    <w:p w:rsidR="00374AFA" w:rsidRPr="00374AFA" w:rsidRDefault="00374AFA" w:rsidP="00374AF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374AFA" w:rsidRPr="00374AFA" w:rsidRDefault="00374AFA" w:rsidP="00374AF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374AFA" w:rsidRPr="00374AFA" w:rsidRDefault="00374AFA" w:rsidP="00374A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proofErr w:type="gramStart"/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Настоящий отчет о деятельности Контрольно-счетной палаты городского округа Звенигород  в 201</w:t>
      </w:r>
      <w:r w:rsidR="007F676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5</w:t>
      </w:r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году подготовлен в соответствии с требованиями </w:t>
      </w:r>
      <w:r w:rsidRPr="00374AFA">
        <w:rPr>
          <w:rFonts w:ascii="Times New Roman" w:eastAsia="Times New Roman" w:hAnsi="Times New Roman" w:cs="Times New Roman"/>
          <w:color w:val="404040"/>
          <w:kern w:val="1"/>
          <w:sz w:val="24"/>
          <w:szCs w:val="24"/>
          <w:lang w:eastAsia="ru-RU"/>
        </w:rPr>
        <w:t>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374AFA">
        <w:rPr>
          <w:rFonts w:ascii="Times New Roman" w:eastAsia="Times New Roman" w:hAnsi="Times New Roman" w:cs="Times New Roman"/>
          <w:b/>
          <w:color w:val="404040"/>
          <w:kern w:val="1"/>
          <w:sz w:val="24"/>
          <w:szCs w:val="24"/>
          <w:lang w:eastAsia="ru-RU"/>
        </w:rPr>
        <w:t xml:space="preserve"> </w:t>
      </w:r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статьи 21 части 2 Положения «О контрольно-счетной палате городского округа Звенигород», утвержденного решением Совета депутатов городского округа Звенигород № 19/4 от 07.03.2013</w:t>
      </w:r>
      <w:proofErr w:type="gramEnd"/>
      <w:r w:rsidRPr="00374AFA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года.</w:t>
      </w:r>
    </w:p>
    <w:p w:rsidR="00374AFA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030" w:rsidRPr="00E36030" w:rsidRDefault="00E36030" w:rsidP="00E360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E36030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1.Вводные положения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1"/>
          <w:sz w:val="24"/>
          <w:szCs w:val="24"/>
          <w:lang w:eastAsia="ar-SA"/>
        </w:rPr>
      </w:pP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Контрольно-счетная палата городского округа Звенигород (далее -  Контрольно-счетная палата) сформирована 01.02.2009 года в соответствии с Бюджетным кодексом РФ, Федеральным законом № 131-ФЗ от 06.10.2003 года « Об общих принципах организации местного самоуправления в Российской Федерации», Уставом муниципального образования «Городской округ Звенигород» в целях финансового </w:t>
      </w:r>
      <w:proofErr w:type="gramStart"/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контроля за</w:t>
      </w:r>
      <w:proofErr w:type="gramEnd"/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об его исполнении, а также в целях контроля  за соблюдением установленного порядка управления и распоряжения имуществом, находящимся в муниципальной собственности городского округа Звенигород.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Задачи, виды деятельности и контрольные полномочия  Контрольно-счетной палаты  городского округа Звенигород определены Положением  «О контрольно-счетной палате городского округа Звенигород».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Деятельность Контрольно-счетной палаты  осуществляется на основе принципа законности, объективности и гласности.  Одной из форм реализации принципа гласности является отчет о деятельности Контрольно-счетной палаты, представляемый в Совет депутатов городского округа Звенигород, а также освещение результатов деятельности Контрольно-счетной палаты на официальном сайте Администрации городского округа Звенигород.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76923C"/>
          <w:kern w:val="1"/>
          <w:sz w:val="24"/>
          <w:szCs w:val="24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>За отчетный период в рамках взаимодействия с Контрольно-счетными органами муниципальных образований, принимали участие в конференциях и семинарах Совета Контрольно-счетных органов при Контрольно-счетной палате Московской области.</w:t>
      </w:r>
      <w:r w:rsidRPr="00E36030">
        <w:rPr>
          <w:rFonts w:ascii="Times New Roman" w:eastAsia="DejaVu Sans" w:hAnsi="Times New Roman" w:cs="Times New Roman"/>
          <w:color w:val="76923C"/>
          <w:kern w:val="1"/>
          <w:sz w:val="24"/>
          <w:szCs w:val="24"/>
        </w:rPr>
        <w:t xml:space="preserve"> 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proofErr w:type="gramStart"/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В соответствии с п.1 статьей 18 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заключила соглашения о взаимодействии с Управлением Федерального казначейства по Московской области, Межмуниципальным управлением МВД РФ «Одинцовское», Контрольно-счетной палатой Московской области.</w:t>
      </w:r>
      <w:proofErr w:type="gramEnd"/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Свою деятельность в 201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5</w:t>
      </w: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году  Контрольно-счетная палата осуществляла на основании годового плана, утвержденного   председателем Контрольно-счетной палаты.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По поручению Главы городского округа Звенигород проведена одна внеплановая проверка.</w:t>
      </w:r>
    </w:p>
    <w:p w:rsidR="00E36030" w:rsidRPr="00E36030" w:rsidRDefault="00E36030" w:rsidP="00E360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36030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Финансовый контроль осуществлялся в форме контрольных и экспертно-аналитических мероприятий. Основной целью каждого мероприятия, независимо от тематики и объектов, ставилась оценка эффективности использования бюджетных средств и муниципальной собственности.  </w:t>
      </w:r>
    </w:p>
    <w:p w:rsidR="00F3549E" w:rsidRPr="00F3549E" w:rsidRDefault="00F3549E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3549E" w:rsidRPr="00F3549E" w:rsidRDefault="00F3549E" w:rsidP="00F354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F3549E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2.Общие результаты деятельности контрольно-счетной палаты                                         городского округа Звенигород</w:t>
      </w:r>
    </w:p>
    <w:p w:rsidR="00F3549E" w:rsidRPr="00F3549E" w:rsidRDefault="00F3549E" w:rsidP="00F354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В 2015 году Контрольно-счетной палатой было прове</w:t>
      </w:r>
      <w:r w:rsidR="008631D7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дено 6 контрольных мероприятий. О</w:t>
      </w:r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дна внеплановая проверк</w:t>
      </w:r>
      <w:proofErr w:type="gramStart"/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а  ООО</w:t>
      </w:r>
      <w:proofErr w:type="gramEnd"/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«Звенигородский городской водоканал» по поручению Главы городского округа Звенигород и пять в соответствии с планом работы </w:t>
      </w:r>
      <w:r w:rsidRPr="00CB2552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  <w:t xml:space="preserve">Контрольно-счетной палаты городского округа Звенигород </w:t>
      </w:r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на 2015 год.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 Количество объектов контроля, охваченных контрольными про</w:t>
      </w:r>
      <w:r w:rsidR="008631D7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верками в 2015 году, составило 4 учреждения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. Общий объем проверенных Контрольно-счетной палатой средств составил </w:t>
      </w:r>
      <w:r w:rsidRPr="00CB2552"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>184 978,0 тыс. руб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.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Проведенными проверками выявлено нарушений и недостатков на общую сумму </w:t>
      </w:r>
      <w:r w:rsidRPr="00CB2552"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>66 592,2 тыс. руб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., или 36% от объема проверенных средств, в том числе: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- нарушения при осуществлении муниципальных закупок, услуг – 1 792,9 тыс. руб.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- неэффективное использование муниципального имущества, предназначенное для водоснабжения и водоотведения, электроснабжения  – 60 055,</w:t>
      </w:r>
      <w:r w:rsidR="00103F85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4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 тыс. руб.;</w:t>
      </w:r>
    </w:p>
    <w:p w:rsidR="00CB2552" w:rsidRPr="00CB2552" w:rsidRDefault="00CB2552" w:rsidP="00CB25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>- неправомерное использование средств областного и местного бюджета -                      306,6 тыс. руб.;</w:t>
      </w:r>
    </w:p>
    <w:p w:rsidR="00CB2552" w:rsidRPr="00CB2552" w:rsidRDefault="00CB2552" w:rsidP="00CB2552">
      <w:pPr>
        <w:widowControl w:val="0"/>
        <w:numPr>
          <w:ilvl w:val="1"/>
          <w:numId w:val="3"/>
        </w:numPr>
        <w:tabs>
          <w:tab w:val="num" w:pos="0"/>
          <w:tab w:val="left" w:pos="709"/>
        </w:tabs>
        <w:suppressAutoHyphens/>
        <w:spacing w:after="0" w:line="100" w:lineRule="atLeast"/>
        <w:ind w:left="0" w:firstLine="567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 незаконное расходование средств – 4 437,3 тыс. рублей.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По результатам проведенных контрольных мероприятий за 2015 год направлено четыре</w:t>
      </w:r>
      <w:r w:rsidRPr="00CB2552">
        <w:rPr>
          <w:rFonts w:ascii="Calibri" w:eastAsia="DejaVu Sans" w:hAnsi="Calibri" w:cs="DejaVu Sans"/>
          <w:kern w:val="1"/>
          <w:lang w:eastAsia="ar-SA"/>
        </w:rPr>
        <w:t xml:space="preserve"> 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представления об устранении выявленных нарушений.   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По итогам проверок 2015 года объектами контроля устранено</w:t>
      </w:r>
      <w:r w:rsidRPr="00CB2552"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 xml:space="preserve"> 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нарушений, недостатков на общую сумму </w:t>
      </w:r>
      <w:r w:rsidRPr="00CB2552"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>4 437,3 тыс. рублей.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Устранение остальных нарушений и недостатков требует более длительного времени. 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Основными мерами по устранению нарушений и недостатков, выявленных Контрольно-счетной палатой, являлись: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- внесение в действующие распорядительные и иные документы изменений, направленных на устранение условий или причин, способствующих возникновению нарушений;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- принятие организационных мер по предупреждению фактов нарушений.</w:t>
      </w:r>
    </w:p>
    <w:p w:rsidR="00CB2552" w:rsidRPr="00CB2552" w:rsidRDefault="00CB2552" w:rsidP="00CB255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Все неисполненные представления остаются на контроле до полного устранения нарушений.</w:t>
      </w:r>
    </w:p>
    <w:p w:rsidR="00103F85" w:rsidRDefault="00103F85" w:rsidP="00F354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F3549E" w:rsidRPr="00F3549E" w:rsidRDefault="00F3549E" w:rsidP="00F354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F3549E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lastRenderedPageBreak/>
        <w:t>3.Результаты экспертно-аналитических мероприятий</w:t>
      </w:r>
    </w:p>
    <w:p w:rsidR="00F3549E" w:rsidRPr="00F3549E" w:rsidRDefault="00F3549E" w:rsidP="00F3549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F3549E" w:rsidRPr="00F3549E" w:rsidRDefault="00F3549E" w:rsidP="00F354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В соответствии с Положением «О  бюджетном процессе в городском округе Звенигород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»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в рамках проведения </w:t>
      </w:r>
      <w:r w:rsidRPr="00F3549E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предварительного контроля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Контрольно-счетной палатой подготовлено заключение на проект бюджета на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6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 и плановый период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7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8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годов.</w:t>
      </w:r>
    </w:p>
    <w:p w:rsidR="00F3549E" w:rsidRPr="00F3549E" w:rsidRDefault="00F3549E" w:rsidP="00F354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В рамках проведения последующего контроля Контрольно-счетной палатой в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5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году проведена  внешняя проверка отчета об исполнении бюджета городского округа Звенигород за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4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год.</w:t>
      </w:r>
    </w:p>
    <w:p w:rsidR="00F3549E" w:rsidRPr="00F3549E" w:rsidRDefault="00F3549E" w:rsidP="00F354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Бюджет городского округа Звенигород за 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4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  был исполнен в соответствии   с   требованиями   и   нормами   действующего бюджетного законодательства и нормативными правовыми актами городского округа Звенигород.</w:t>
      </w:r>
    </w:p>
    <w:p w:rsidR="00F3549E" w:rsidRPr="00F3549E" w:rsidRDefault="00F3549E" w:rsidP="00F354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В течение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5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года Контрольно-счетной палатой</w:t>
      </w:r>
      <w:r w:rsidRPr="00F3549E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на основе данных  финансового отдела Администрации городского округа Звенигород и материалов проводимых проверок подготовлены заключения по исполнению бюджета городского округа Звенигород за           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val="en-US" w:eastAsia="ar-SA"/>
        </w:rPr>
        <w:t>I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квартал, 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val="en-US" w:eastAsia="ar-SA"/>
        </w:rPr>
        <w:t>I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полугодие и 9 месяцев 201</w:t>
      </w:r>
      <w:r w:rsidR="00994B5B" w:rsidRPr="00994B5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5</w:t>
      </w: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года.</w:t>
      </w:r>
    </w:p>
    <w:p w:rsidR="00F3549E" w:rsidRPr="00F3549E" w:rsidRDefault="00F3549E" w:rsidP="00F354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F3549E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Замечаний по составу представленной годовой бюджетной отчетности не было. Вся  бюджетная отчетность признана достоверной, соответствующей действующему законодательству Российской Федерации.</w:t>
      </w:r>
    </w:p>
    <w:p w:rsidR="00374AFA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B5B" w:rsidRPr="00994B5B" w:rsidRDefault="00994B5B" w:rsidP="00994B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994B5B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4.Результаты контрольно-ревизионных мероприятий</w:t>
      </w:r>
    </w:p>
    <w:p w:rsidR="00994B5B" w:rsidRPr="00994B5B" w:rsidRDefault="00994B5B" w:rsidP="00994B5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C0504D"/>
          <w:kern w:val="1"/>
          <w:sz w:val="28"/>
          <w:szCs w:val="28"/>
          <w:lang w:eastAsia="ar-SA"/>
        </w:rPr>
      </w:pPr>
    </w:p>
    <w:p w:rsidR="008631D7" w:rsidRPr="00A16203" w:rsidRDefault="00994B5B" w:rsidP="008631D7">
      <w:pPr>
        <w:ind w:firstLine="573"/>
        <w:jc w:val="both"/>
        <w:rPr>
          <w:rFonts w:ascii="Times New Roman" w:eastAsia="DejaVu Sans" w:hAnsi="Times New Roman" w:cs="DejaVu Sans"/>
          <w:b/>
          <w:i/>
          <w:kern w:val="2"/>
          <w:sz w:val="24"/>
          <w:szCs w:val="24"/>
          <w:u w:val="single"/>
          <w:lang w:eastAsia="ar-SA"/>
        </w:rPr>
      </w:pPr>
      <w:r w:rsidRPr="00A162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4.1. О</w:t>
      </w:r>
      <w:r w:rsidRPr="00A16203">
        <w:rPr>
          <w:rFonts w:ascii="Times New Roman" w:eastAsia="DejaVu Sans" w:hAnsi="Times New Roman" w:cs="DejaVu Sans"/>
          <w:b/>
          <w:i/>
          <w:kern w:val="2"/>
          <w:sz w:val="24"/>
          <w:szCs w:val="24"/>
          <w:u w:val="single"/>
          <w:lang w:eastAsia="ar-SA"/>
        </w:rPr>
        <w:t>ценка законности и результативности использования средств местного бюджета, выделенных в 2014 году в сфере молодежной политики и оздоровления детей.</w:t>
      </w:r>
    </w:p>
    <w:p w:rsidR="008631D7" w:rsidRDefault="00994B5B" w:rsidP="008631D7">
      <w:pPr>
        <w:ind w:firstLine="573"/>
        <w:jc w:val="both"/>
        <w:rPr>
          <w:rFonts w:ascii="Times New Roman" w:eastAsia="DejaVu Sans" w:hAnsi="Times New Roman" w:cs="DejaVu Sans"/>
          <w:kern w:val="2"/>
          <w:sz w:val="24"/>
          <w:szCs w:val="24"/>
          <w:lang w:eastAsia="ar-SA"/>
        </w:rPr>
      </w:pPr>
      <w:r w:rsidRPr="00994B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 проверке</w:t>
      </w:r>
      <w:r w:rsidRPr="00994B5B">
        <w:rPr>
          <w:rFonts w:ascii="Times New Roman" w:eastAsia="DejaVu Sans" w:hAnsi="Times New Roman" w:cs="DejaVu Sans"/>
          <w:kern w:val="2"/>
          <w:sz w:val="24"/>
          <w:szCs w:val="24"/>
          <w:lang w:eastAsia="ar-SA"/>
        </w:rPr>
        <w:t xml:space="preserve"> </w:t>
      </w:r>
      <w:r w:rsidR="008631D7">
        <w:rPr>
          <w:rFonts w:ascii="Times New Roman" w:eastAsia="DejaVu Sans" w:hAnsi="Times New Roman" w:cs="DejaVu Sans"/>
          <w:kern w:val="2"/>
          <w:sz w:val="24"/>
          <w:szCs w:val="24"/>
          <w:lang w:eastAsia="ar-SA"/>
        </w:rPr>
        <w:t>были выявлены следующие нарушения:</w:t>
      </w:r>
    </w:p>
    <w:p w:rsidR="00994B5B" w:rsidRPr="00994B5B" w:rsidRDefault="00994B5B" w:rsidP="00994B5B">
      <w:p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</w:pPr>
      <w:r w:rsidRPr="00994B5B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 xml:space="preserve">1.Нарушены нормы, установленные пунктами 1,2 статьи 94 Закона      №44-ФЗ по исполнению контракта со стороны «заказчика» муниципальных бюджетных образовательных </w:t>
      </w:r>
      <w:r w:rsidR="00103F85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>учреждений  и «поставщика»</w:t>
      </w:r>
      <w:r w:rsidRPr="00994B5B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 xml:space="preserve">.  </w:t>
      </w:r>
    </w:p>
    <w:p w:rsidR="00994B5B" w:rsidRPr="00994B5B" w:rsidRDefault="00994B5B" w:rsidP="00994B5B">
      <w:pPr>
        <w:shd w:val="clear" w:color="auto" w:fill="FFFFFF"/>
        <w:tabs>
          <w:tab w:val="left" w:pos="426"/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</w:pPr>
      <w:r w:rsidRPr="00994B5B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>2. Неправомерное использование средств областного и местного бюджета в сумме 306,6тыс</w:t>
      </w:r>
      <w:proofErr w:type="gramStart"/>
      <w:r w:rsidRPr="00994B5B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>.р</w:t>
      </w:r>
      <w:proofErr w:type="gramEnd"/>
      <w:r w:rsidRPr="00994B5B">
        <w:rPr>
          <w:rFonts w:ascii="Times New Roman" w:eastAsia="DejaVu Sans" w:hAnsi="Times New Roman" w:cs="font293"/>
          <w:kern w:val="2"/>
          <w:sz w:val="24"/>
          <w:szCs w:val="24"/>
          <w:lang w:eastAsia="ar-SA"/>
        </w:rPr>
        <w:t xml:space="preserve">уб. </w:t>
      </w:r>
    </w:p>
    <w:p w:rsidR="008631D7" w:rsidRDefault="008631D7" w:rsidP="00994B5B">
      <w:pPr>
        <w:ind w:firstLine="559"/>
        <w:jc w:val="both"/>
        <w:rPr>
          <w:rFonts w:ascii="Times New Roman" w:eastAsia="DejaVu Sans" w:hAnsi="Times New Roman" w:cs="DejaVu Sans"/>
          <w:b/>
          <w:i/>
          <w:color w:val="00000A"/>
          <w:kern w:val="2"/>
          <w:sz w:val="24"/>
          <w:szCs w:val="24"/>
          <w:lang w:eastAsia="ar-SA"/>
        </w:rPr>
      </w:pPr>
    </w:p>
    <w:p w:rsidR="00994B5B" w:rsidRPr="00A16203" w:rsidRDefault="00994B5B" w:rsidP="00994B5B">
      <w:pPr>
        <w:ind w:firstLine="559"/>
        <w:jc w:val="both"/>
        <w:rPr>
          <w:rFonts w:ascii="Times New Roman" w:eastAsia="DejaVu Sans" w:hAnsi="Times New Roman" w:cs="Times New Roman"/>
          <w:b/>
          <w:i/>
          <w:color w:val="00000A"/>
          <w:kern w:val="1"/>
          <w:sz w:val="24"/>
          <w:szCs w:val="24"/>
          <w:u w:val="single"/>
          <w:lang w:eastAsia="ar-SA"/>
        </w:rPr>
      </w:pPr>
      <w:r w:rsidRPr="00A16203">
        <w:rPr>
          <w:rFonts w:ascii="Times New Roman" w:eastAsia="DejaVu Sans" w:hAnsi="Times New Roman" w:cs="DejaVu Sans"/>
          <w:b/>
          <w:i/>
          <w:color w:val="00000A"/>
          <w:kern w:val="2"/>
          <w:sz w:val="24"/>
          <w:szCs w:val="24"/>
          <w:u w:val="single"/>
          <w:lang w:eastAsia="ar-SA"/>
        </w:rPr>
        <w:t>4.2.</w:t>
      </w:r>
      <w:r w:rsidRPr="00A16203">
        <w:rPr>
          <w:rFonts w:ascii="Times New Roman" w:eastAsia="DejaVu Sans" w:hAnsi="Times New Roman" w:cs="Times New Roman"/>
          <w:b/>
          <w:i/>
          <w:kern w:val="1"/>
          <w:sz w:val="24"/>
          <w:szCs w:val="24"/>
          <w:u w:val="single"/>
          <w:lang w:eastAsia="ar-SA"/>
        </w:rPr>
        <w:t xml:space="preserve"> Проверка</w:t>
      </w:r>
      <w:r w:rsidRPr="00A16203">
        <w:rPr>
          <w:rFonts w:ascii="Times New Roman" w:eastAsia="DejaVu Sans" w:hAnsi="Times New Roman" w:cs="Times New Roman"/>
          <w:b/>
          <w:i/>
          <w:color w:val="00000A"/>
          <w:kern w:val="1"/>
          <w:sz w:val="24"/>
          <w:szCs w:val="24"/>
          <w:u w:val="single"/>
          <w:lang w:eastAsia="ar-SA"/>
        </w:rPr>
        <w:t xml:space="preserve"> финансово-хозяйственной деятельности и целевого использования средств субсидий, выделенных из бюджета городского округа Звенигород на выполнение муниципального задания и иные цели МАОУ ДОД «Дом детского творчества городского округа Звенигород» в 2014 году.</w:t>
      </w:r>
    </w:p>
    <w:p w:rsidR="005471A6" w:rsidRPr="005471A6" w:rsidRDefault="005471A6" w:rsidP="005471A6">
      <w:pPr>
        <w:tabs>
          <w:tab w:val="left" w:pos="709"/>
        </w:tabs>
        <w:suppressAutoHyphens/>
        <w:spacing w:line="276" w:lineRule="atLeast"/>
        <w:ind w:firstLine="559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54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контрольного мероприятия нецелевого или неэффективного использования средств субсидий, выделяемых из бюджета городского округа Звенигород на выполнение муниципального задания и иные цели </w:t>
      </w:r>
      <w:r w:rsidRPr="005471A6">
        <w:rPr>
          <w:rFonts w:ascii="Times New Roman" w:eastAsia="DejaVu Sans" w:hAnsi="Times New Roman" w:cs="Times New Roman"/>
          <w:color w:val="00000A"/>
          <w:kern w:val="1"/>
          <w:sz w:val="24"/>
          <w:szCs w:val="24"/>
          <w:lang w:eastAsia="ar-SA"/>
        </w:rPr>
        <w:t>МАОУ ДОД «Дом детского творчества городского округа Звенигород» в 2014 году</w:t>
      </w:r>
      <w:r w:rsidRPr="00547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установлено.</w:t>
      </w:r>
    </w:p>
    <w:p w:rsidR="00160E15" w:rsidRDefault="00160E15" w:rsidP="007C14EE">
      <w:pPr>
        <w:ind w:firstLine="559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</w:p>
    <w:p w:rsidR="00837465" w:rsidRDefault="00837465" w:rsidP="007C14EE">
      <w:pPr>
        <w:ind w:firstLine="559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</w:pPr>
    </w:p>
    <w:p w:rsidR="00837465" w:rsidRDefault="00837465" w:rsidP="007C14EE">
      <w:pPr>
        <w:ind w:firstLine="559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</w:pPr>
    </w:p>
    <w:p w:rsidR="007C14EE" w:rsidRPr="006565FE" w:rsidRDefault="003E36D8" w:rsidP="007C14EE">
      <w:pPr>
        <w:ind w:firstLine="55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6565FE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lastRenderedPageBreak/>
        <w:t>4.3.</w:t>
      </w:r>
      <w:r w:rsidR="007C14EE" w:rsidRPr="006565FE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 xml:space="preserve"> Пр</w:t>
      </w:r>
      <w:r w:rsidR="007C14EE" w:rsidRPr="006565FE"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  <w:t>оверка законности и эффективности расходования бюджетных средств, направленных на благоустройство территории городского округа  Звенигород в 2014-2015 годах.</w:t>
      </w:r>
    </w:p>
    <w:p w:rsidR="007C14EE" w:rsidRPr="007C14EE" w:rsidRDefault="007C14EE" w:rsidP="007C14EE">
      <w:pPr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ar-SA"/>
        </w:rPr>
      </w:pP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При проверке законности и эффективности расходования бюджетных средств, направленных на благоустройство территории городского округа  Звенигород установлены нарушения в сумме  </w:t>
      </w: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5 638,5 тыс. рублей</w:t>
      </w: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том числе:  </w:t>
      </w:r>
    </w:p>
    <w:p w:rsidR="007C14EE" w:rsidRPr="007C14EE" w:rsidRDefault="007C14EE" w:rsidP="007C14EE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1. Незаконное использование средств местного бюджета</w:t>
      </w: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направленных на оплату:</w:t>
      </w:r>
    </w:p>
    <w:p w:rsidR="007C14EE" w:rsidRPr="007C14EE" w:rsidRDefault="007C14EE" w:rsidP="007C14EE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-</w:t>
      </w: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работ по сносу и </w:t>
      </w:r>
      <w:proofErr w:type="spellStart"/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кронированию</w:t>
      </w:r>
      <w:proofErr w:type="spellEnd"/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деревьев без разрешения, в нарушение Положения «Об охране и вырубке зеленых насаждений на территории городского округа Звенигород», утвержденного решением Совета депутатов городского округа Звенигород от 22.07.2010</w:t>
      </w:r>
      <w:r w:rsidR="0083746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№53/7 на сумму</w:t>
      </w: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3 068,4 тыс. рублей;</w:t>
      </w:r>
    </w:p>
    <w:p w:rsidR="007C14EE" w:rsidRPr="007C14EE" w:rsidRDefault="007C14EE" w:rsidP="007C14EE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- </w:t>
      </w: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принятых работ по обслуживанию водозаборных колонок и шахтных колодцев не находящихся в муниципальной собственности на сумму </w:t>
      </w: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1 368,9 тыс. рублей.</w:t>
      </w: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</w:p>
    <w:p w:rsidR="007C14EE" w:rsidRPr="007C14EE" w:rsidRDefault="007C14EE" w:rsidP="007C14EE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2. Прочие нарушения:</w:t>
      </w:r>
    </w:p>
    <w:p w:rsidR="007C14EE" w:rsidRPr="007C14EE" w:rsidRDefault="007C14EE" w:rsidP="007C14EE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Администрация городского округа Звенигород незаконно провела конкурс в форме электронного аукциона на право выполнения подрядных работ по обслуживанию городских сетей ливневой канализации, которые переданы в аренд</w:t>
      </w:r>
      <w:proofErr w:type="gramStart"/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 ООО</w:t>
      </w:r>
      <w:proofErr w:type="gramEnd"/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«Звенигородский городской водоканал» в сумме </w:t>
      </w:r>
      <w:r w:rsidRPr="007C14E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1 201,2 тыс. рублей.</w:t>
      </w:r>
    </w:p>
    <w:p w:rsidR="007C14EE" w:rsidRDefault="007C14EE" w:rsidP="007C14EE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Незаконно полученные средства подрядчиком ООО «</w:t>
      </w:r>
      <w:proofErr w:type="spellStart"/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ЕвроСтрой</w:t>
      </w:r>
      <w:proofErr w:type="spellEnd"/>
      <w:r w:rsidRPr="007C14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 подлежат возврату в бюджет города в сумме 1 201,2 тыс. рублей.</w:t>
      </w:r>
    </w:p>
    <w:p w:rsidR="00DA4DA2" w:rsidRDefault="00DA4DA2" w:rsidP="007C14EE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76C88" w:rsidRPr="006565FE" w:rsidRDefault="00DA4DA2" w:rsidP="00F76C88">
      <w:pPr>
        <w:tabs>
          <w:tab w:val="left" w:pos="180"/>
        </w:tabs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565FE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4.4.</w:t>
      </w:r>
      <w:r w:rsidR="00F76C88" w:rsidRPr="006565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Соблюдение Законодательства Российской Федерации в сфере закупок товаров, работ, услуг для обеспечения муниципальных нужд в Администрации городского округа Звенигород.</w:t>
      </w:r>
    </w:p>
    <w:p w:rsidR="00F76C88" w:rsidRDefault="00F76C88" w:rsidP="00F76C88">
      <w:pPr>
        <w:pStyle w:val="2"/>
        <w:ind w:firstLine="567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При проверке соблюдения Законодательства Российской Федерации в сфере закупок товаров, работ, услуг для обеспечения муниципальных нужд в Администрации городского округа </w:t>
      </w:r>
      <w:r w:rsidR="00837465">
        <w:rPr>
          <w:bCs/>
          <w:iCs/>
          <w:color w:val="000000"/>
          <w:sz w:val="24"/>
          <w:szCs w:val="24"/>
        </w:rPr>
        <w:t xml:space="preserve">Звенигород установлены </w:t>
      </w:r>
      <w:r>
        <w:rPr>
          <w:bCs/>
          <w:iCs/>
          <w:color w:val="000000"/>
          <w:sz w:val="24"/>
          <w:szCs w:val="24"/>
        </w:rPr>
        <w:t xml:space="preserve"> нарушения</w:t>
      </w:r>
      <w:r w:rsidR="004A5AFC">
        <w:rPr>
          <w:bCs/>
          <w:iCs/>
          <w:color w:val="000000"/>
          <w:sz w:val="24"/>
          <w:szCs w:val="24"/>
        </w:rPr>
        <w:t xml:space="preserve"> на сумму 591,7 </w:t>
      </w:r>
      <w:proofErr w:type="spellStart"/>
      <w:r w:rsidR="004A5AFC">
        <w:rPr>
          <w:bCs/>
          <w:iCs/>
          <w:color w:val="000000"/>
          <w:sz w:val="24"/>
          <w:szCs w:val="24"/>
        </w:rPr>
        <w:t>тыс</w:t>
      </w:r>
      <w:proofErr w:type="gramStart"/>
      <w:r w:rsidR="004A5AFC">
        <w:rPr>
          <w:bCs/>
          <w:iCs/>
          <w:color w:val="000000"/>
          <w:sz w:val="24"/>
          <w:szCs w:val="24"/>
        </w:rPr>
        <w:t>.р</w:t>
      </w:r>
      <w:proofErr w:type="gramEnd"/>
      <w:r w:rsidR="004A5AFC">
        <w:rPr>
          <w:bCs/>
          <w:iCs/>
          <w:color w:val="000000"/>
          <w:sz w:val="24"/>
          <w:szCs w:val="24"/>
        </w:rPr>
        <w:t>ублей</w:t>
      </w:r>
      <w:proofErr w:type="spellEnd"/>
      <w:r w:rsidR="004A5AFC">
        <w:rPr>
          <w:bCs/>
          <w:iCs/>
          <w:color w:val="000000"/>
          <w:sz w:val="24"/>
          <w:szCs w:val="24"/>
        </w:rPr>
        <w:t>:</w:t>
      </w:r>
    </w:p>
    <w:p w:rsidR="00F76C88" w:rsidRDefault="00F76C88" w:rsidP="00F76C88">
      <w:pPr>
        <w:pStyle w:val="2"/>
        <w:ind w:firstLine="567"/>
        <w:jc w:val="both"/>
        <w:rPr>
          <w:bCs/>
          <w:iCs/>
          <w:color w:val="000000"/>
          <w:sz w:val="24"/>
          <w:szCs w:val="24"/>
        </w:rPr>
      </w:pPr>
    </w:p>
    <w:p w:rsidR="00F76C88" w:rsidRDefault="00837465" w:rsidP="00723992">
      <w:pPr>
        <w:pStyle w:val="2"/>
        <w:ind w:firstLine="567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F76C88">
        <w:rPr>
          <w:iCs/>
          <w:sz w:val="24"/>
          <w:szCs w:val="24"/>
        </w:rPr>
        <w:t>Неполное опубликование информации в реестре контрактов, определенной статьей 103 Закона N 44-ФЗ, свидетельствует о  нарушении  принципа открытости и прозрачности контрактной системы в сфере закупок, установленного  частью 3 статьи 7 Закона N 44-ФЗ.</w:t>
      </w:r>
    </w:p>
    <w:p w:rsidR="00837465" w:rsidRDefault="00F76C88" w:rsidP="00C831E6">
      <w:pPr>
        <w:pStyle w:val="2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2. </w:t>
      </w:r>
      <w:r>
        <w:rPr>
          <w:bCs/>
          <w:iCs/>
          <w:sz w:val="24"/>
          <w:szCs w:val="24"/>
        </w:rPr>
        <w:t>В нарушение части 3 статьи 103 Закона №44-ФЗ на официальном сайте в реестре контрактов нарушены сроки опубли</w:t>
      </w:r>
      <w:r w:rsidR="00C831E6">
        <w:rPr>
          <w:bCs/>
          <w:iCs/>
          <w:sz w:val="24"/>
          <w:szCs w:val="24"/>
        </w:rPr>
        <w:t>кования заключенных контрактов.</w:t>
      </w:r>
    </w:p>
    <w:p w:rsidR="00F76C88" w:rsidRDefault="00F76C88" w:rsidP="00F76C88">
      <w:pPr>
        <w:pStyle w:val="2"/>
        <w:ind w:firstLine="567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3.</w:t>
      </w:r>
      <w:r>
        <w:rPr>
          <w:iCs/>
          <w:sz w:val="24"/>
          <w:szCs w:val="24"/>
        </w:rPr>
        <w:t xml:space="preserve"> Установлен факт искусственного разделения муниципального заказа в сумме </w:t>
      </w:r>
      <w:r>
        <w:rPr>
          <w:b/>
          <w:iCs/>
          <w:sz w:val="24"/>
          <w:szCs w:val="24"/>
        </w:rPr>
        <w:t>416</w:t>
      </w:r>
      <w:r w:rsidR="002929A5">
        <w:rPr>
          <w:b/>
          <w:iCs/>
          <w:sz w:val="24"/>
          <w:szCs w:val="24"/>
        </w:rPr>
        <w:t>,8 тыс.</w:t>
      </w:r>
      <w:r>
        <w:rPr>
          <w:b/>
          <w:iCs/>
          <w:sz w:val="24"/>
          <w:szCs w:val="24"/>
        </w:rPr>
        <w:t xml:space="preserve"> рублей</w:t>
      </w:r>
      <w:r>
        <w:rPr>
          <w:iCs/>
          <w:sz w:val="24"/>
          <w:szCs w:val="24"/>
        </w:rPr>
        <w:t xml:space="preserve"> на более мелкие части (по однотипным товарам) во избежание необходимости проведения конкурсных процедур, что противоречит принципу эффективности и экономности использования бюджетных средств, установленных статьей 34 Бюджетного кодекса РФ, и нарушают требования Закона N 44-ФЗ.</w:t>
      </w:r>
    </w:p>
    <w:p w:rsidR="00F76C88" w:rsidRDefault="00F76C88" w:rsidP="00F76C88">
      <w:pPr>
        <w:pStyle w:val="2"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>
        <w:rPr>
          <w:bCs/>
          <w:iCs/>
          <w:sz w:val="24"/>
          <w:szCs w:val="24"/>
        </w:rPr>
        <w:t xml:space="preserve">В нарушение части 2 статьи 34 Закона №44-ФЗ контракт на сумму </w:t>
      </w:r>
      <w:r w:rsidRPr="000508AB">
        <w:rPr>
          <w:b/>
          <w:bCs/>
          <w:iCs/>
          <w:sz w:val="24"/>
          <w:szCs w:val="24"/>
        </w:rPr>
        <w:t>60</w:t>
      </w:r>
      <w:r w:rsidR="000508AB" w:rsidRPr="000508AB">
        <w:rPr>
          <w:b/>
          <w:bCs/>
          <w:iCs/>
          <w:sz w:val="24"/>
          <w:szCs w:val="24"/>
        </w:rPr>
        <w:t>,0 тыс.</w:t>
      </w:r>
      <w:r w:rsidRPr="000508AB">
        <w:rPr>
          <w:b/>
          <w:bCs/>
          <w:iCs/>
          <w:sz w:val="24"/>
          <w:szCs w:val="24"/>
        </w:rPr>
        <w:t xml:space="preserve"> рублей</w:t>
      </w:r>
      <w:r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не содержит обязательного требования закона - условия о том, что цена контракта является твердой и определяется на весь срок исполнения контракта. </w:t>
      </w:r>
    </w:p>
    <w:p w:rsidR="00F76C88" w:rsidRDefault="00F76C88" w:rsidP="00F76C88">
      <w:pPr>
        <w:pStyle w:val="2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5.</w:t>
      </w:r>
      <w:r>
        <w:rPr>
          <w:bCs/>
          <w:iCs/>
          <w:sz w:val="24"/>
          <w:szCs w:val="24"/>
        </w:rPr>
        <w:t xml:space="preserve"> В соответствие с договором № 22/05-2015 от </w:t>
      </w:r>
      <w:r>
        <w:rPr>
          <w:b/>
          <w:bCs/>
          <w:iCs/>
          <w:sz w:val="24"/>
          <w:szCs w:val="24"/>
        </w:rPr>
        <w:t>27.05.15</w:t>
      </w:r>
      <w:r>
        <w:rPr>
          <w:bCs/>
          <w:iCs/>
          <w:sz w:val="24"/>
          <w:szCs w:val="24"/>
        </w:rPr>
        <w:t xml:space="preserve"> Администрацией были проведены электромонтажные работы по адресу: г. Звенигород, с. Введенское, д. 11, кв.1., тогда как месяцем раньше 14.04.15 вынесено Постановление Главы городского округа Звенигород № 259 о приватизации квартиры.</w:t>
      </w:r>
    </w:p>
    <w:p w:rsidR="00F76C88" w:rsidRDefault="00F76C88" w:rsidP="00F76C88">
      <w:pPr>
        <w:pStyle w:val="2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результате бюджетные средства в сумме </w:t>
      </w:r>
      <w:r w:rsidRPr="004A5AFC">
        <w:rPr>
          <w:b/>
          <w:bCs/>
          <w:iCs/>
          <w:sz w:val="24"/>
          <w:szCs w:val="24"/>
        </w:rPr>
        <w:t>99</w:t>
      </w:r>
      <w:r w:rsidR="004A5AFC" w:rsidRPr="004A5AFC">
        <w:rPr>
          <w:b/>
          <w:bCs/>
          <w:iCs/>
          <w:sz w:val="24"/>
          <w:szCs w:val="24"/>
        </w:rPr>
        <w:t>,</w:t>
      </w:r>
      <w:r w:rsidRPr="004A5AFC">
        <w:rPr>
          <w:b/>
          <w:bCs/>
          <w:iCs/>
          <w:sz w:val="24"/>
          <w:szCs w:val="24"/>
        </w:rPr>
        <w:t> 9</w:t>
      </w:r>
      <w:r w:rsidR="004A5AFC" w:rsidRPr="004A5AFC">
        <w:rPr>
          <w:b/>
          <w:bCs/>
          <w:iCs/>
          <w:sz w:val="24"/>
          <w:szCs w:val="24"/>
        </w:rPr>
        <w:t xml:space="preserve"> тыс.</w:t>
      </w:r>
      <w:r w:rsidRPr="004A5AFC">
        <w:rPr>
          <w:b/>
          <w:bCs/>
          <w:iCs/>
          <w:sz w:val="24"/>
          <w:szCs w:val="24"/>
        </w:rPr>
        <w:t xml:space="preserve"> рублей</w:t>
      </w:r>
      <w:r>
        <w:rPr>
          <w:bCs/>
          <w:iCs/>
          <w:sz w:val="24"/>
          <w:szCs w:val="24"/>
        </w:rPr>
        <w:t xml:space="preserve"> использовались на содержание имущества, не являющегося муниципальной собственностью.</w:t>
      </w:r>
    </w:p>
    <w:p w:rsidR="00F76C88" w:rsidRDefault="00F76C88" w:rsidP="00F76C88">
      <w:pPr>
        <w:pStyle w:val="2"/>
        <w:ind w:firstLine="567"/>
        <w:jc w:val="both"/>
        <w:rPr>
          <w:bCs/>
          <w:iCs/>
          <w:sz w:val="24"/>
          <w:szCs w:val="24"/>
        </w:rPr>
      </w:pPr>
    </w:p>
    <w:p w:rsidR="00F76C88" w:rsidRDefault="00F76C88" w:rsidP="00F76C88">
      <w:pPr>
        <w:pStyle w:val="2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6. </w:t>
      </w:r>
      <w:r>
        <w:rPr>
          <w:bCs/>
          <w:iCs/>
          <w:sz w:val="24"/>
          <w:szCs w:val="24"/>
        </w:rPr>
        <w:t>Администрация оплатила за информационно-консультационные услуги по вопросам составления сметной документации с применением Программного комплекса ГОССТРОЙСМЕТА.</w:t>
      </w:r>
    </w:p>
    <w:p w:rsidR="00F76C88" w:rsidRDefault="00DB3A33" w:rsidP="00F76C88">
      <w:pPr>
        <w:pStyle w:val="2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</w:t>
      </w:r>
      <w:r w:rsidR="00F76C88">
        <w:rPr>
          <w:bCs/>
          <w:iCs/>
          <w:sz w:val="24"/>
          <w:szCs w:val="24"/>
        </w:rPr>
        <w:t>становленный программный комплекс ГОССТРОЙСМЕТА в работе не применяется.</w:t>
      </w:r>
    </w:p>
    <w:p w:rsidR="00F76C88" w:rsidRDefault="00F76C88" w:rsidP="00F76C88">
      <w:pPr>
        <w:pStyle w:val="2"/>
        <w:ind w:firstLine="567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>В резул</w:t>
      </w:r>
      <w:r w:rsidR="004A5AFC">
        <w:rPr>
          <w:bCs/>
          <w:iCs/>
          <w:sz w:val="24"/>
          <w:szCs w:val="24"/>
        </w:rPr>
        <w:t xml:space="preserve">ьтате расходы бюджета в сумме </w:t>
      </w:r>
      <w:r w:rsidR="004A5AFC" w:rsidRPr="004A5AFC">
        <w:rPr>
          <w:b/>
          <w:bCs/>
          <w:iCs/>
          <w:sz w:val="24"/>
          <w:szCs w:val="24"/>
        </w:rPr>
        <w:t>15,0 тыс.</w:t>
      </w:r>
      <w:r w:rsidRPr="004A5AFC">
        <w:rPr>
          <w:b/>
          <w:bCs/>
          <w:iCs/>
          <w:sz w:val="24"/>
          <w:szCs w:val="24"/>
        </w:rPr>
        <w:t xml:space="preserve"> рублей</w:t>
      </w:r>
      <w:r>
        <w:rPr>
          <w:bCs/>
          <w:iCs/>
          <w:sz w:val="24"/>
          <w:szCs w:val="24"/>
        </w:rPr>
        <w:t xml:space="preserve"> противоречат принципу эффективности использования бюджетных средств, установленных статьей 34 Бюджетного кодекса РФ.</w:t>
      </w:r>
      <w:r>
        <w:rPr>
          <w:bCs/>
          <w:iCs/>
          <w:color w:val="000000"/>
          <w:sz w:val="24"/>
          <w:szCs w:val="24"/>
        </w:rPr>
        <w:t xml:space="preserve"> </w:t>
      </w:r>
    </w:p>
    <w:p w:rsidR="00F76C88" w:rsidRDefault="00F76C88" w:rsidP="00F76C88">
      <w:pPr>
        <w:pStyle w:val="2"/>
        <w:ind w:firstLine="567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7.</w:t>
      </w:r>
      <w:r>
        <w:rPr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В нарушение пункта 3 статьи 94 Закона №44-ФЗ при приемке товаров не проводится экспертиза результатов, предусмотренных контрактом, в части их соответствия условиям контракта.</w:t>
      </w:r>
    </w:p>
    <w:p w:rsidR="00F76C88" w:rsidRDefault="00F76C88" w:rsidP="00F76C88">
      <w:pPr>
        <w:pStyle w:val="2"/>
        <w:ind w:firstLine="567"/>
        <w:jc w:val="both"/>
        <w:rPr>
          <w:iCs/>
          <w:color w:val="000000"/>
          <w:sz w:val="24"/>
          <w:szCs w:val="24"/>
        </w:rPr>
      </w:pPr>
    </w:p>
    <w:p w:rsidR="00EC27FF" w:rsidRPr="006565FE" w:rsidRDefault="003B27E9" w:rsidP="00EC27FF">
      <w:pPr>
        <w:ind w:firstLine="559"/>
        <w:jc w:val="both"/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</w:pPr>
      <w:r w:rsidRPr="006565FE">
        <w:rPr>
          <w:b/>
          <w:i/>
          <w:iCs/>
          <w:color w:val="000000"/>
          <w:sz w:val="24"/>
          <w:szCs w:val="24"/>
          <w:u w:val="single"/>
        </w:rPr>
        <w:t>4.5</w:t>
      </w:r>
      <w:r w:rsidR="00EC27FF" w:rsidRPr="006565FE"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  <w:t xml:space="preserve"> Проверка сохранности и использования муниципального имущества по водоснабжению и водоотведению, переданного в аренд</w:t>
      </w:r>
      <w:proofErr w:type="gramStart"/>
      <w:r w:rsidR="00EC27FF" w:rsidRPr="006565FE"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  <w:t>у ООО</w:t>
      </w:r>
      <w:proofErr w:type="gramEnd"/>
      <w:r w:rsidR="00EC27FF" w:rsidRPr="006565FE"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  <w:t xml:space="preserve"> «Звенигородский городской водоканал».</w:t>
      </w:r>
    </w:p>
    <w:p w:rsidR="00EC27FF" w:rsidRPr="00EC27FF" w:rsidRDefault="00EC27FF" w:rsidP="00EC27FF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При проверке сохранности и использования муниципального имущества по водоснабжению и водоотведению, переданного в аренд</w:t>
      </w:r>
      <w:proofErr w:type="gramStart"/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 ООО</w:t>
      </w:r>
      <w:proofErr w:type="gramEnd"/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«Звенигородский городской водоканал» установлены нарушения в сумме </w:t>
      </w:r>
      <w:r w:rsidRPr="00EC27F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58 259,9 тыс. рублей</w:t>
      </w:r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том числе:  </w:t>
      </w:r>
    </w:p>
    <w:p w:rsidR="00EC27FF" w:rsidRPr="00EC27FF" w:rsidRDefault="00B51555" w:rsidP="00EC27FF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</w:t>
      </w:r>
      <w:r w:rsidR="00EC27FF" w:rsidRPr="00EC27F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="00EC27FF"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Денежные средства, полученные от инвесторов, которые по Инвестиционной программе Водоканала должны направляться на строительство новых объектов водоснабжения и водоотведения с увеличением производственных мощностей расходовались на покупку квартир, строительно-монтажные работы по пристройке церковно-приходского дома расположенного на улице Московской дом 35.</w:t>
      </w:r>
    </w:p>
    <w:p w:rsidR="00EC27FF" w:rsidRPr="00EC27FF" w:rsidRDefault="00EC27FF" w:rsidP="00EC27FF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результате нецелевое использование средств инвесторов составляет                           сумму в </w:t>
      </w:r>
      <w:r w:rsidRPr="00EC27F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20 029,0</w:t>
      </w:r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тыс. рублей.</w:t>
      </w:r>
    </w:p>
    <w:p w:rsidR="00EC27FF" w:rsidRPr="00EC27FF" w:rsidRDefault="00B51555" w:rsidP="00EC27FF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</w:t>
      </w:r>
      <w:r w:rsidR="00EC27FF" w:rsidRPr="00EC27F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. </w:t>
      </w:r>
      <w:r w:rsidR="00EC27FF"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ходе контрольного мероприятия сотрудниками Контрольно-счетной палаты, Администрации </w:t>
      </w:r>
      <w:proofErr w:type="gramStart"/>
      <w:r w:rsidR="00EC27FF"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proofErr w:type="gramEnd"/>
      <w:r w:rsidR="00EC27FF"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/о Звенигород с участием представителей ООО «Звенигородский городской водоканал» </w:t>
      </w:r>
      <w:r w:rsidR="000748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был </w:t>
      </w:r>
      <w:r w:rsidR="00EC27FF"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проведен контрольный осмотр работ по наружным инженерным сетям водопровода, ливневой и хозяйственно-бытовой канализации, которые являются неотделимой частью наружных инженерных сетей канализации и водоснабжения арендованного Комплекса. </w:t>
      </w:r>
    </w:p>
    <w:p w:rsidR="00EC27FF" w:rsidRDefault="00EC27FF" w:rsidP="00EC27FF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 результатам осмотра</w:t>
      </w:r>
      <w:r w:rsidR="000748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было </w:t>
      </w:r>
      <w:r w:rsidRPr="00EC27F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выя</w:t>
      </w:r>
      <w:r w:rsidR="003002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влено, что работы не выполнены.</w:t>
      </w:r>
    </w:p>
    <w:p w:rsidR="00B51555" w:rsidRDefault="0030029F" w:rsidP="00723992">
      <w:pPr>
        <w:tabs>
          <w:tab w:val="left" w:pos="709"/>
        </w:tabs>
        <w:suppressAutoHyphens/>
        <w:spacing w:after="0" w:line="276" w:lineRule="atLeast"/>
        <w:ind w:firstLine="570"/>
        <w:jc w:val="both"/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Сумма по актам выполненных работ составила </w:t>
      </w:r>
      <w:r w:rsidRPr="003002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38 230,9 тыс. рублей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:rsidR="00EC27FF" w:rsidRPr="00EC27FF" w:rsidRDefault="00B51555" w:rsidP="00EC27FF">
      <w:pPr>
        <w:tabs>
          <w:tab w:val="left" w:pos="709"/>
        </w:tabs>
        <w:suppressAutoHyphens/>
        <w:spacing w:after="0" w:line="100" w:lineRule="atLeast"/>
        <w:ind w:firstLine="585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>3</w:t>
      </w:r>
      <w:r w:rsidR="00EC27FF" w:rsidRPr="00EC27FF"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 xml:space="preserve">. </w:t>
      </w:r>
      <w:r w:rsidR="00EC27FF"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Водоканалом не реализованы мероприятия по решению проблем водоснабжения и водоотведения, предусмотренные Инвестиционной программой, такие как:</w:t>
      </w:r>
    </w:p>
    <w:p w:rsidR="00EC27FF" w:rsidRPr="00EC27FF" w:rsidRDefault="00EC27FF" w:rsidP="00EC27FF">
      <w:pPr>
        <w:tabs>
          <w:tab w:val="left" w:pos="709"/>
        </w:tabs>
        <w:suppressAutoHyphens/>
        <w:spacing w:after="0" w:line="100" w:lineRule="atLeast"/>
        <w:ind w:firstLine="585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-</w:t>
      </w:r>
      <w:r w:rsidRPr="00EC27FF">
        <w:rPr>
          <w:rFonts w:ascii="Times New Roman" w:eastAsia="DejaVu Sans" w:hAnsi="Times New Roman" w:cs="DejaVu Sans"/>
          <w:b/>
          <w:kern w:val="1"/>
          <w:sz w:val="24"/>
          <w:szCs w:val="24"/>
          <w:lang w:eastAsia="ar-SA"/>
        </w:rPr>
        <w:t xml:space="preserve"> </w:t>
      </w:r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Проектирование, реконструкция ВЗУ №5, с увеличением мощности до 3,5 тыс. куб./</w:t>
      </w:r>
      <w:proofErr w:type="spellStart"/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сут</w:t>
      </w:r>
      <w:proofErr w:type="spellEnd"/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;</w:t>
      </w:r>
    </w:p>
    <w:p w:rsidR="00EC27FF" w:rsidRPr="00EC27FF" w:rsidRDefault="00EC27FF" w:rsidP="00EC27FF">
      <w:pPr>
        <w:tabs>
          <w:tab w:val="left" w:pos="709"/>
        </w:tabs>
        <w:suppressAutoHyphens/>
        <w:spacing w:after="0" w:line="100" w:lineRule="atLeast"/>
        <w:ind w:firstLine="585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- Строительство новых скважин на ВЗУ 4- 3 рабочих, 1 резерв производительностью 7,5 тыс. </w:t>
      </w:r>
      <w:proofErr w:type="spellStart"/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куб.м</w:t>
      </w:r>
      <w:proofErr w:type="spellEnd"/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./</w:t>
      </w:r>
      <w:proofErr w:type="spellStart"/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сут</w:t>
      </w:r>
      <w:proofErr w:type="spellEnd"/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;</w:t>
      </w:r>
    </w:p>
    <w:p w:rsidR="00EC27FF" w:rsidRPr="00EC27FF" w:rsidRDefault="00EC27FF" w:rsidP="00EC27FF">
      <w:pPr>
        <w:tabs>
          <w:tab w:val="left" w:pos="709"/>
        </w:tabs>
        <w:suppressAutoHyphens/>
        <w:spacing w:after="0" w:line="100" w:lineRule="atLeast"/>
        <w:ind w:firstLine="585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- Реконструкции канализационных насосных станций. </w:t>
      </w:r>
    </w:p>
    <w:p w:rsidR="00EC27FF" w:rsidRPr="00EC27FF" w:rsidRDefault="00EC27FF" w:rsidP="00EC27FF">
      <w:pPr>
        <w:tabs>
          <w:tab w:val="left" w:pos="709"/>
        </w:tabs>
        <w:suppressAutoHyphens/>
        <w:spacing w:after="0" w:line="100" w:lineRule="atLeast"/>
        <w:ind w:firstLine="585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EC27FF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Следовательно, денежные средства, полученные Водоканалом от потребителей с 2013 года по настоящее время, расходовались не на развитие систем коммунальной инфраструктуры.</w:t>
      </w:r>
    </w:p>
    <w:p w:rsidR="00A02457" w:rsidRPr="00CB2552" w:rsidRDefault="00A02457" w:rsidP="00A02457">
      <w:pPr>
        <w:tabs>
          <w:tab w:val="left" w:pos="709"/>
        </w:tabs>
        <w:suppressAutoHyphens/>
        <w:spacing w:line="276" w:lineRule="atLeast"/>
        <w:ind w:firstLine="559"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</w:pPr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Материалы по проверке</w:t>
      </w:r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 сохранности и использования муниципального имущества по водоснабжению и водоотведению, переданного в аренд</w:t>
      </w:r>
      <w:proofErr w:type="gramStart"/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>у ООО</w:t>
      </w:r>
      <w:proofErr w:type="gramEnd"/>
      <w:r w:rsidRPr="00CB2552">
        <w:rPr>
          <w:rFonts w:ascii="Times New Roman" w:eastAsia="DejaVu Sans" w:hAnsi="Times New Roman" w:cs="DejaVu Sans"/>
          <w:kern w:val="1"/>
          <w:sz w:val="24"/>
          <w:szCs w:val="24"/>
          <w:lang w:eastAsia="ar-SA"/>
        </w:rPr>
        <w:t xml:space="preserve"> «Звенигородский городской водоканал»</w:t>
      </w:r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,</w:t>
      </w:r>
      <w:r w:rsidRPr="00CB255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B255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переданы в правоохранительные органы.</w:t>
      </w:r>
    </w:p>
    <w:p w:rsidR="004F7C41" w:rsidRPr="00A16203" w:rsidRDefault="004F7C41" w:rsidP="004F7C41">
      <w:pPr>
        <w:ind w:firstLine="559"/>
        <w:jc w:val="both"/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</w:pPr>
      <w:r w:rsidRPr="00A16203">
        <w:rPr>
          <w:rFonts w:ascii="Times New Roman" w:eastAsia="DejaVu San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4.6.</w:t>
      </w:r>
      <w:r w:rsidRPr="00A16203"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  <w:t xml:space="preserve"> Эффективность использования муниципального имущества, переданного в хозяйственное ведение, полнота и своевременность начисления и перечисления части </w:t>
      </w:r>
      <w:r w:rsidRPr="00A16203">
        <w:rPr>
          <w:rFonts w:ascii="Times New Roman" w:eastAsia="DejaVu Sans" w:hAnsi="Times New Roman" w:cs="DejaVu Sans"/>
          <w:b/>
          <w:i/>
          <w:kern w:val="1"/>
          <w:sz w:val="24"/>
          <w:szCs w:val="24"/>
          <w:u w:val="single"/>
          <w:lang w:eastAsia="ar-SA"/>
        </w:rPr>
        <w:lastRenderedPageBreak/>
        <w:t>прибыли, зачисляемой в доход бюджета города Звенигород МП «Звенигородская электросеть» в 2014 и 1 квартале 2015 гг.</w:t>
      </w:r>
    </w:p>
    <w:p w:rsidR="005570B3" w:rsidRPr="005570B3" w:rsidRDefault="005570B3" w:rsidP="005570B3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570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Выборочно были проверены договора, заключенные МП «Звенигородская электросеть» с подрядной организацией ООО «Строительно-монтажное управление», акты о приемке выполненных работ (КС-2), </w:t>
      </w:r>
      <w:r w:rsidR="00E73A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подписанные двумя</w:t>
      </w:r>
      <w:r w:rsidRPr="005570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сторонами</w:t>
      </w:r>
      <w:r w:rsidRPr="005570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 следующим видам работ:</w:t>
      </w:r>
    </w:p>
    <w:p w:rsidR="005570B3" w:rsidRDefault="005570B3" w:rsidP="005570B3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570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Уличному освещению Верхне-Посадского шоссе на сумму 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</w:t>
      </w:r>
      <w:r w:rsidRPr="005570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320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5570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 4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тыс.</w:t>
      </w:r>
      <w:r w:rsidRPr="005570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5570B3" w:rsidRDefault="005570B3" w:rsidP="005570B3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A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Строительство и монтаж РТП </w:t>
      </w:r>
      <w:proofErr w:type="gramStart"/>
      <w:r w:rsidRPr="00CA38B5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Верхний-Посад</w:t>
      </w:r>
      <w:proofErr w:type="gramEnd"/>
      <w:r w:rsidRPr="00CA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A38B5">
        <w:rPr>
          <w:rFonts w:ascii="Times New Roman" w:eastAsia="Times New Roman" w:hAnsi="Times New Roman" w:cs="Times New Roman"/>
          <w:color w:val="000000"/>
          <w:sz w:val="24"/>
          <w:szCs w:val="24"/>
        </w:rPr>
        <w:t>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,7 тыс.</w:t>
      </w:r>
      <w:r w:rsidRPr="00CA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44E" w:rsidRPr="0019444E" w:rsidRDefault="0019444E" w:rsidP="0019444E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При визуальном осмотре выявлены нарушения, которые заключаются в принятии по актам приемке выполненных работ формы КС-2 ряд работ, с завышенными объемами работ либо фактически невыполненных, а именно:</w:t>
      </w:r>
    </w:p>
    <w:p w:rsidR="0019444E" w:rsidRPr="0019444E" w:rsidRDefault="0019444E" w:rsidP="0019444E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работы по уличному освещению на Верхне-Посадском шоссе из                                31 железобетонных опор, фактически установлено 15 металлических опор; </w:t>
      </w:r>
    </w:p>
    <w:p w:rsidR="0019444E" w:rsidRDefault="0019444E" w:rsidP="0019444E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не выполнены отделочные работы в РТП </w:t>
      </w:r>
      <w:proofErr w:type="gramStart"/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Верхний-Посад</w:t>
      </w:r>
      <w:proofErr w:type="gramEnd"/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вместо двух трансформаторов марки установлен один трансформатор  другой марки, вместо 22 штук камер сборных распределительных установлено 13 штук и соответственно все работы по монтажу силового высоковольтного оборудования тоже завышены.</w:t>
      </w:r>
    </w:p>
    <w:p w:rsidR="0019444E" w:rsidRPr="0019444E" w:rsidRDefault="0019444E" w:rsidP="0019444E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Стоимость неустановленного оборудования составляет сумму </w:t>
      </w:r>
      <w:r w:rsidRPr="0019444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</w:t>
      </w:r>
      <w:r w:rsidR="00E73A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 </w:t>
      </w:r>
      <w:r w:rsidRPr="0019444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795</w:t>
      </w:r>
      <w:r w:rsidR="00E73A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,</w:t>
      </w:r>
      <w:r w:rsidRPr="0019444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 5</w:t>
      </w:r>
      <w:r w:rsidR="00E73A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E73ADB" w:rsidRPr="00E73A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тыс</w:t>
      </w:r>
      <w:r w:rsidR="00E73AD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рублей, и соответственно были завышены объемы и стоимость работ по монтажу данного оборудования, которую может определить только специалист в данной области.</w:t>
      </w:r>
    </w:p>
    <w:p w:rsidR="0019444E" w:rsidRPr="0019444E" w:rsidRDefault="0019444E" w:rsidP="0019444E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результате МП «Звенигородская электросеть» необходимо</w:t>
      </w:r>
      <w:r w:rsidR="00C461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было</w:t>
      </w: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провести независимую экспертизу всех </w:t>
      </w:r>
      <w:r w:rsidRPr="001944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проведенных работ</w:t>
      </w:r>
      <w:r w:rsidRPr="001944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ООО «Строительно-монтажное управление» и обязать подрядчика выполнить работы или вернуть деньги, в случае отказа подрядчика, обратиться в суд.</w:t>
      </w:r>
    </w:p>
    <w:p w:rsidR="00FD473E" w:rsidRDefault="00FD473E" w:rsidP="00FD47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D473E" w:rsidRPr="006A1F73" w:rsidRDefault="00FD473E" w:rsidP="00FD47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Организационные, информационные и иные мероприятия</w:t>
      </w:r>
    </w:p>
    <w:p w:rsidR="00FD473E" w:rsidRPr="006A1F73" w:rsidRDefault="00FD473E" w:rsidP="00FD4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73E" w:rsidRDefault="005452F3" w:rsidP="00FD47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</w:t>
      </w:r>
      <w:r w:rsidR="00FD473E"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палата осуществляет свою деятельность на основе принципов законности, эффективности, объективности, независимости, открытости и гласности. В 2015 году,  в целях обеспечения открытости и доступности информации о работе контрольно-счетных органов, была проведена дополнительная работа</w:t>
      </w:r>
      <w:r w:rsidR="00FD473E" w:rsidRPr="00FD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3E"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усовершенствованию  информационных  блоков, размещаемых на сайте муниципального образования  в подразделе «Контрольно-счетная палата  </w:t>
      </w:r>
      <w:r w:rsidR="00FD473E" w:rsidRPr="00FD4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Звенигород</w:t>
      </w:r>
      <w:r w:rsidR="00FD473E"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действующего законодательства.</w:t>
      </w:r>
    </w:p>
    <w:p w:rsidR="003A5A08" w:rsidRDefault="003A5A08" w:rsidP="008E4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наполняемости сайтов контрольно-счетных органов в сети Интернет, проведенного комиссией по этике Совета контрольно-счетных органов  при Контрольно-счетной палате Московской области по состоянию на 01.10.2015, обязательная информация и информация общего характера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Звенигород </w:t>
      </w:r>
      <w:r w:rsidRPr="0062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 достаточной.</w:t>
      </w:r>
    </w:p>
    <w:p w:rsidR="00723992" w:rsidRDefault="00F93535" w:rsidP="005675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 года проводились подготовительные мероприятия по изучению необходимого законодательства, методических рекомендаций в области финансового контроля, характеризующих финансово-хозяйственную деятельность объекта контрольного мероприятия. </w:t>
      </w:r>
    </w:p>
    <w:p w:rsidR="00F93535" w:rsidRPr="00F93535" w:rsidRDefault="00F93535" w:rsidP="00F93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палаты в 2015 году принято участие:</w:t>
      </w:r>
    </w:p>
    <w:p w:rsidR="00F93535" w:rsidRPr="00F93535" w:rsidRDefault="003A5A08" w:rsidP="00F93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535" w:rsidRPr="00F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видеоконференции с участием КСО муниципальных образований Московской области (май);</w:t>
      </w:r>
    </w:p>
    <w:p w:rsidR="00F93535" w:rsidRPr="00F93535" w:rsidRDefault="003A5A08" w:rsidP="00F93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535" w:rsidRPr="00F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обучающем семинаре, проводимом Контрольно-счетной палатой Московской области, по актуальным вопросам внешнего государственного и муниципального финансового контроля (июль);</w:t>
      </w:r>
    </w:p>
    <w:p w:rsidR="00F93535" w:rsidRPr="00F93535" w:rsidRDefault="003A5A08" w:rsidP="00F935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93535" w:rsidRPr="00F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информационно-аналитической комиссии Совета контрольно-счетных органов при Контрольно-счетной палате Московской области (сентябрь);</w:t>
      </w:r>
    </w:p>
    <w:p w:rsidR="00F93535" w:rsidRDefault="003A5A08" w:rsidP="00F93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3535" w:rsidRPr="00F9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Совета контрольно-счетных органов при Контрольно-счетной палате Московской области (декабрь).</w:t>
      </w:r>
    </w:p>
    <w:p w:rsidR="00F93535" w:rsidRPr="00F93535" w:rsidRDefault="00F93535" w:rsidP="00F93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35">
        <w:rPr>
          <w:rFonts w:ascii="Times New Roman" w:hAnsi="Times New Roman" w:cs="Times New Roman"/>
          <w:sz w:val="24"/>
          <w:szCs w:val="24"/>
        </w:rPr>
        <w:t>С декабря 2015 года председатель Контрольно-счетной палаты избран в состав Комиссии по этике Совета контрольно-счетных органов при Контрольно-счетной палате Московской области.</w:t>
      </w:r>
    </w:p>
    <w:p w:rsidR="00FD473E" w:rsidRDefault="00FD473E" w:rsidP="005452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28 декабря 2015года № 250/2015-ОЗ «О перечне должностных лиц органов местного самоуправления  муниципальных образований Московской области, уполномоченных составлять протоколы об административных правонарушениях, предусмотренных статьями 5.21, 15.1, 15.11, 15.14-15.15(16), частью 1 статьи 19.4, статьей 19.4(1), частью 20 статьи 19.5, статьи 19.6 и 19.7 Кодекса Российской Федерации об административных правонарушениях» председателям КСП предоставлено право составления</w:t>
      </w:r>
      <w:proofErr w:type="gramEnd"/>
      <w:r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об административном правонарушении в рамках вышеперечисленных статей КоАП. Это новое направление в работе КСП, которое предстоит в 2016 году</w:t>
      </w:r>
      <w:r w:rsidR="00A9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и применять на практике в ходе своей деятельности.</w:t>
      </w:r>
    </w:p>
    <w:p w:rsidR="00D667EA" w:rsidRPr="00D667EA" w:rsidRDefault="00D667EA" w:rsidP="00E2380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план работы на 2016 год.</w:t>
      </w:r>
    </w:p>
    <w:p w:rsidR="00D667EA" w:rsidRPr="00D667EA" w:rsidRDefault="00D667EA" w:rsidP="00E238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667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2016 году Контрольно-счетная палата будет сконцентрирована на усилении контроля выполнения представлений и предписаний Контрольно-счетной палаты в части устранения выявленных нарушений и недостатков и эффективности, принимаемых при этом мер.</w:t>
      </w:r>
    </w:p>
    <w:p w:rsidR="00625C4A" w:rsidRPr="00625C4A" w:rsidRDefault="00D667EA" w:rsidP="00E2380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«программному бюджету» требует усиления контроля над разработкой и выполнением муниципальных программ. Цели контроля  смещаются с контроля над финансовыми потоками к </w:t>
      </w:r>
      <w:r w:rsidRPr="00D66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определению результативности муниципальных программ и обоснованности объемов бюджетных средств, использованных на выполнение программных мероприятий,</w:t>
      </w:r>
      <w:r w:rsidRPr="00D6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достижение конечных целей и задач данных программ</w:t>
      </w:r>
      <w:r w:rsidRPr="00D66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5C4A" w:rsidRPr="0062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5C4A" w:rsidRPr="00625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227A" w:rsidRPr="0067227A" w:rsidRDefault="00FD473E" w:rsidP="0067227A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6</w:t>
      </w:r>
      <w:r w:rsidR="0067227A" w:rsidRPr="006722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. Заключительная часть</w:t>
      </w:r>
    </w:p>
    <w:p w:rsidR="00BE5909" w:rsidRPr="00ED7C88" w:rsidRDefault="00BE5909" w:rsidP="00E2380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ED7C88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единства целей и задач Контрольно-счетная палата активно взаимодействовала</w:t>
      </w:r>
      <w:proofErr w:type="gramEnd"/>
      <w:r w:rsidRPr="00ED7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 Советом депутатов, структурными подразделениями Администрации города, руководителями муниципальных учреждений и предприятий, оказывая регулярную консультативную помощь в решении вопросов местного значения. Сотрудники  Контрольно-счетной палаты принимали активное участие в заседаниях Совета депутатов городского округа Звенигород, в публичных слушаниях по бюджету, в работе депутатских комиссий, рабочих групп.</w:t>
      </w:r>
    </w:p>
    <w:p w:rsidR="0019444E" w:rsidRDefault="0019444E" w:rsidP="00E23805">
      <w:pPr>
        <w:ind w:firstLine="559"/>
        <w:jc w:val="both"/>
        <w:rPr>
          <w:rFonts w:ascii="Times New Roman" w:eastAsia="DejaVu Sans" w:hAnsi="Times New Roman" w:cs="DejaVu Sans"/>
          <w:b/>
          <w:i/>
          <w:kern w:val="1"/>
          <w:sz w:val="24"/>
          <w:szCs w:val="24"/>
          <w:lang w:eastAsia="ar-SA"/>
        </w:rPr>
      </w:pPr>
    </w:p>
    <w:p w:rsidR="00D40020" w:rsidRDefault="00D40020" w:rsidP="00E23805">
      <w:pPr>
        <w:ind w:firstLine="559"/>
        <w:jc w:val="both"/>
        <w:rPr>
          <w:rFonts w:ascii="Times New Roman" w:eastAsia="DejaVu Sans" w:hAnsi="Times New Roman" w:cs="DejaVu Sans"/>
          <w:b/>
          <w:i/>
          <w:kern w:val="1"/>
          <w:sz w:val="24"/>
          <w:szCs w:val="24"/>
          <w:lang w:eastAsia="ar-SA"/>
        </w:rPr>
      </w:pPr>
    </w:p>
    <w:p w:rsidR="00D40020" w:rsidRPr="004F7C41" w:rsidRDefault="00D40020" w:rsidP="00E23805">
      <w:pPr>
        <w:ind w:firstLine="559"/>
        <w:jc w:val="both"/>
        <w:rPr>
          <w:rFonts w:ascii="Times New Roman" w:eastAsia="DejaVu Sans" w:hAnsi="Times New Roman" w:cs="DejaVu Sans"/>
          <w:b/>
          <w:i/>
          <w:kern w:val="1"/>
          <w:sz w:val="24"/>
          <w:szCs w:val="24"/>
          <w:lang w:eastAsia="ar-SA"/>
        </w:rPr>
      </w:pPr>
    </w:p>
    <w:p w:rsidR="008E4C5A" w:rsidRPr="008E4C5A" w:rsidRDefault="008E4C5A" w:rsidP="008E4C5A">
      <w:pPr>
        <w:spacing w:after="0"/>
        <w:ind w:right="2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D473E" w:rsidRPr="008E4C5A" w:rsidRDefault="008E4C5A" w:rsidP="008E4C5A">
      <w:pPr>
        <w:spacing w:after="0"/>
        <w:ind w:right="2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                             </w:t>
      </w:r>
      <w:proofErr w:type="spellStart"/>
      <w:r w:rsidRPr="008E4C5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Е.Н.Рыдаева</w:t>
      </w:r>
      <w:proofErr w:type="spellEnd"/>
    </w:p>
    <w:p w:rsidR="00FD473E" w:rsidRPr="008E4C5A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73E" w:rsidRPr="008E4C5A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3E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473E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473E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473E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473E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D473E" w:rsidRDefault="00FD473E" w:rsidP="00464EE6">
      <w:pPr>
        <w:spacing w:after="0"/>
        <w:ind w:right="24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Pr="00464EE6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374AFA" w:rsidRDefault="00374AFA" w:rsidP="0092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374A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7C" w:rsidRDefault="004F1F7C" w:rsidP="00464EE6">
      <w:pPr>
        <w:spacing w:after="0" w:line="240" w:lineRule="auto"/>
      </w:pPr>
      <w:r>
        <w:separator/>
      </w:r>
    </w:p>
  </w:endnote>
  <w:endnote w:type="continuationSeparator" w:id="0">
    <w:p w:rsidR="004F1F7C" w:rsidRDefault="004F1F7C" w:rsidP="0046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font293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E" w:rsidRDefault="00040F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2097"/>
      <w:docPartObj>
        <w:docPartGallery w:val="Page Numbers (Bottom of Page)"/>
        <w:docPartUnique/>
      </w:docPartObj>
    </w:sdtPr>
    <w:sdtContent>
      <w:p w:rsidR="00040FFE" w:rsidRDefault="00040F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40FFE" w:rsidRDefault="00040FFE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E" w:rsidRDefault="00040F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7C" w:rsidRDefault="004F1F7C" w:rsidP="00464EE6">
      <w:pPr>
        <w:spacing w:after="0" w:line="240" w:lineRule="auto"/>
      </w:pPr>
      <w:r>
        <w:separator/>
      </w:r>
    </w:p>
  </w:footnote>
  <w:footnote w:type="continuationSeparator" w:id="0">
    <w:p w:rsidR="004F1F7C" w:rsidRDefault="004F1F7C" w:rsidP="0046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E" w:rsidRDefault="00040F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E" w:rsidRDefault="00040F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E" w:rsidRDefault="00040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E45A76"/>
    <w:multiLevelType w:val="hybridMultilevel"/>
    <w:tmpl w:val="5184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EE"/>
    <w:rsid w:val="00022A11"/>
    <w:rsid w:val="00040FFE"/>
    <w:rsid w:val="000508AB"/>
    <w:rsid w:val="000748A3"/>
    <w:rsid w:val="000B010A"/>
    <w:rsid w:val="000E01C9"/>
    <w:rsid w:val="00103F85"/>
    <w:rsid w:val="00127C85"/>
    <w:rsid w:val="00160E15"/>
    <w:rsid w:val="00187729"/>
    <w:rsid w:val="0019444E"/>
    <w:rsid w:val="002929A5"/>
    <w:rsid w:val="0030029F"/>
    <w:rsid w:val="00374AFA"/>
    <w:rsid w:val="003A5A08"/>
    <w:rsid w:val="003B27E9"/>
    <w:rsid w:val="003E36D8"/>
    <w:rsid w:val="00464EE6"/>
    <w:rsid w:val="004A5AFC"/>
    <w:rsid w:val="004C0F73"/>
    <w:rsid w:val="004F1F7C"/>
    <w:rsid w:val="004F7C41"/>
    <w:rsid w:val="005167AB"/>
    <w:rsid w:val="00527AF8"/>
    <w:rsid w:val="005452F3"/>
    <w:rsid w:val="005471A6"/>
    <w:rsid w:val="005570B3"/>
    <w:rsid w:val="00567582"/>
    <w:rsid w:val="005E514C"/>
    <w:rsid w:val="00625C4A"/>
    <w:rsid w:val="006565FE"/>
    <w:rsid w:val="0067227A"/>
    <w:rsid w:val="00723992"/>
    <w:rsid w:val="007824F4"/>
    <w:rsid w:val="007C14EE"/>
    <w:rsid w:val="007F6761"/>
    <w:rsid w:val="00837465"/>
    <w:rsid w:val="008631D7"/>
    <w:rsid w:val="008E4C5A"/>
    <w:rsid w:val="00900D7B"/>
    <w:rsid w:val="00926310"/>
    <w:rsid w:val="00994B5B"/>
    <w:rsid w:val="00A02457"/>
    <w:rsid w:val="00A16203"/>
    <w:rsid w:val="00A92AE2"/>
    <w:rsid w:val="00B204D5"/>
    <w:rsid w:val="00B51555"/>
    <w:rsid w:val="00B72300"/>
    <w:rsid w:val="00B86865"/>
    <w:rsid w:val="00BE5909"/>
    <w:rsid w:val="00C461D6"/>
    <w:rsid w:val="00C81552"/>
    <w:rsid w:val="00C831E6"/>
    <w:rsid w:val="00CB2552"/>
    <w:rsid w:val="00CD533D"/>
    <w:rsid w:val="00D0247C"/>
    <w:rsid w:val="00D40020"/>
    <w:rsid w:val="00D667EA"/>
    <w:rsid w:val="00DA4DA2"/>
    <w:rsid w:val="00DB36EE"/>
    <w:rsid w:val="00DB3A33"/>
    <w:rsid w:val="00E23805"/>
    <w:rsid w:val="00E36030"/>
    <w:rsid w:val="00E73ADB"/>
    <w:rsid w:val="00EC27FF"/>
    <w:rsid w:val="00ED7C88"/>
    <w:rsid w:val="00F129E2"/>
    <w:rsid w:val="00F2673D"/>
    <w:rsid w:val="00F3549E"/>
    <w:rsid w:val="00F76C88"/>
    <w:rsid w:val="00F81835"/>
    <w:rsid w:val="00F93535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4A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FA"/>
    <w:rPr>
      <w:rFonts w:ascii="Tahoma" w:hAnsi="Tahoma" w:cs="Tahoma"/>
      <w:sz w:val="16"/>
      <w:szCs w:val="16"/>
    </w:rPr>
  </w:style>
  <w:style w:type="paragraph" w:customStyle="1" w:styleId="2">
    <w:name w:val="Название объекта2"/>
    <w:basedOn w:val="a"/>
    <w:rsid w:val="00F76C88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note text"/>
    <w:aliases w:val=" Знак,Знак,Знак Знак,Текст сноски Знак Знак,fn,Текст сноски НИВ, Знак Знак Знак Знак,Знак Знак Знак Знак"/>
    <w:basedOn w:val="a"/>
    <w:link w:val="a6"/>
    <w:uiPriority w:val="99"/>
    <w:rsid w:val="0046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 Знак,Знак Знак1,Знак Знак Знак,Текст сноски Знак Знак Знак,fn Знак,Текст сноски НИВ Знак, Знак Знак Знак Знак Знак,Знак Знак Знак Знак Знак"/>
    <w:basedOn w:val="a0"/>
    <w:link w:val="a5"/>
    <w:uiPriority w:val="99"/>
    <w:rsid w:val="0046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текст сноски"/>
    <w:uiPriority w:val="99"/>
    <w:rsid w:val="00464EE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4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FFE"/>
  </w:style>
  <w:style w:type="paragraph" w:styleId="aa">
    <w:name w:val="footer"/>
    <w:basedOn w:val="a"/>
    <w:link w:val="ab"/>
    <w:uiPriority w:val="99"/>
    <w:unhideWhenUsed/>
    <w:rsid w:val="0004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374A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FA"/>
    <w:rPr>
      <w:rFonts w:ascii="Tahoma" w:hAnsi="Tahoma" w:cs="Tahoma"/>
      <w:sz w:val="16"/>
      <w:szCs w:val="16"/>
    </w:rPr>
  </w:style>
  <w:style w:type="paragraph" w:customStyle="1" w:styleId="2">
    <w:name w:val="Название объекта2"/>
    <w:basedOn w:val="a"/>
    <w:rsid w:val="00F76C88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note text"/>
    <w:aliases w:val=" Знак,Знак,Знак Знак,Текст сноски Знак Знак,fn,Текст сноски НИВ, Знак Знак Знак Знак,Знак Знак Знак Знак"/>
    <w:basedOn w:val="a"/>
    <w:link w:val="a6"/>
    <w:uiPriority w:val="99"/>
    <w:rsid w:val="0046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 Знак,Знак Знак1,Знак Знак Знак,Текст сноски Знак Знак Знак,fn Знак,Текст сноски НИВ Знак, Знак Знак Знак Знак Знак,Знак Знак Знак Знак Знак"/>
    <w:basedOn w:val="a0"/>
    <w:link w:val="a5"/>
    <w:uiPriority w:val="99"/>
    <w:rsid w:val="0046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текст сноски"/>
    <w:uiPriority w:val="99"/>
    <w:rsid w:val="00464EE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4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FFE"/>
  </w:style>
  <w:style w:type="paragraph" w:styleId="aa">
    <w:name w:val="footer"/>
    <w:basedOn w:val="a"/>
    <w:link w:val="ab"/>
    <w:uiPriority w:val="99"/>
    <w:unhideWhenUsed/>
    <w:rsid w:val="0004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.k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BF5A-8E50-4D67-8812-F6A8148E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66</cp:revision>
  <cp:lastPrinted>2016-04-07T06:57:00Z</cp:lastPrinted>
  <dcterms:created xsi:type="dcterms:W3CDTF">2016-03-23T06:20:00Z</dcterms:created>
  <dcterms:modified xsi:type="dcterms:W3CDTF">2016-04-07T07:04:00Z</dcterms:modified>
</cp:coreProperties>
</file>